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09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35F93">
        <w:rPr>
          <w:rFonts w:ascii="Arial" w:hAnsi="Arial" w:cs="Arial"/>
          <w:bCs/>
          <w:spacing w:val="-3"/>
          <w:sz w:val="22"/>
          <w:szCs w:val="22"/>
        </w:rPr>
        <w:t>Released in September 2009,</w:t>
      </w:r>
      <w:r w:rsidRPr="00F35F93">
        <w:rPr>
          <w:rFonts w:ascii="Arial" w:hAnsi="Arial" w:cs="Arial"/>
          <w:bCs/>
          <w:i/>
          <w:spacing w:val="-3"/>
          <w:sz w:val="22"/>
          <w:szCs w:val="22"/>
        </w:rPr>
        <w:t xml:space="preserve"> Toward Q2 through ICT 2009–2014 – the </w:t>
      </w:r>
      <w:smartTag w:uri="urn:schemas-microsoft-com:office:smarttags" w:element="place">
        <w:smartTag w:uri="urn:schemas-microsoft-com:office:smarttags" w:element="State">
          <w:r w:rsidRPr="00F35F93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F35F93">
        <w:rPr>
          <w:rFonts w:ascii="Arial" w:hAnsi="Arial" w:cs="Arial"/>
          <w:bCs/>
          <w:i/>
          <w:spacing w:val="-3"/>
          <w:sz w:val="22"/>
          <w:szCs w:val="22"/>
        </w:rPr>
        <w:t xml:space="preserve"> Government’s strategy for government ICT</w:t>
      </w: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Pr="00F35F93">
        <w:rPr>
          <w:rFonts w:ascii="Arial" w:hAnsi="Arial" w:cs="Arial"/>
          <w:bCs/>
          <w:i/>
          <w:spacing w:val="-3"/>
          <w:sz w:val="22"/>
          <w:szCs w:val="22"/>
        </w:rPr>
        <w:t>Toward Q2 through ICT</w:t>
      </w: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 Strategy) is the Queensland Government’s five year strategy for government information and communication technology (ICT).  </w:t>
      </w:r>
    </w:p>
    <w:p w:rsidR="00F35F93" w:rsidRPr="00F35F93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The Strategy comprises four key focus areas: accessible government, efficient government, effective government and a strong industry/government partnership.  </w:t>
      </w:r>
      <w:r w:rsidRPr="00F35F93">
        <w:rPr>
          <w:rFonts w:ascii="Arial" w:hAnsi="Arial" w:cs="Arial"/>
          <w:bCs/>
          <w:i/>
          <w:spacing w:val="-3"/>
          <w:sz w:val="22"/>
          <w:szCs w:val="22"/>
        </w:rPr>
        <w:t>Toward Q2 through ICT – Implementation Plan</w:t>
      </w: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 outlines a range of actions to support the government’s ambition to achieve the priorities within each focus area. </w:t>
      </w:r>
    </w:p>
    <w:p w:rsidR="00F35F93" w:rsidRPr="00F35F93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A governance structure was established to support the adoption of the ‘one government’ ICT approach and promote cross-agency collaboration, representation and commitment at all levels.  Key governance bodies include the Chief Executive Officer (CEO) Leadership Team Services Sub-committee; Chief Information Officer (CIO) Leadership Team; and eight Sub-committees focused on service delivery, ICT capability, information management, governance, telecommunications, ICT infrastructure, information security and strategic sourcing. </w:t>
      </w:r>
    </w:p>
    <w:p w:rsidR="00EC4209" w:rsidRDefault="00EC4209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F35F93" w:rsidRPr="00F35F93">
        <w:rPr>
          <w:rFonts w:ascii="Arial" w:hAnsi="Arial" w:cs="Arial"/>
          <w:bCs/>
          <w:spacing w:val="-3"/>
          <w:sz w:val="22"/>
          <w:szCs w:val="22"/>
        </w:rPr>
        <w:t xml:space="preserve">ctions fundamental to achieving efficiencies across government and a customer-focussed approach to information access and service delivery were completed on </w:t>
      </w:r>
      <w:r w:rsidR="007616CB">
        <w:rPr>
          <w:rFonts w:ascii="Arial" w:hAnsi="Arial" w:cs="Arial"/>
          <w:bCs/>
          <w:spacing w:val="-3"/>
          <w:sz w:val="22"/>
          <w:szCs w:val="22"/>
        </w:rPr>
        <w:t xml:space="preserve">schedule in 2009. </w:t>
      </w:r>
      <w:r w:rsidR="00AF4F0E">
        <w:rPr>
          <w:rFonts w:ascii="Arial" w:hAnsi="Arial" w:cs="Arial"/>
          <w:bCs/>
          <w:spacing w:val="-3"/>
          <w:sz w:val="22"/>
          <w:szCs w:val="22"/>
        </w:rPr>
        <w:t>T</w:t>
      </w:r>
      <w:r w:rsidR="00F35F93" w:rsidRPr="00F35F93">
        <w:rPr>
          <w:rFonts w:ascii="Arial" w:hAnsi="Arial" w:cs="Arial"/>
          <w:bCs/>
          <w:spacing w:val="-3"/>
          <w:sz w:val="22"/>
          <w:szCs w:val="22"/>
        </w:rPr>
        <w:t xml:space="preserve">he ‘share before buy before build’ direction provides Government with the opportunity to realise savings through the reuse of existing assets.  </w:t>
      </w:r>
    </w:p>
    <w:p w:rsidR="00EC4209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Smart Service Queensland (Smart Service) was nominated as the preferred provider of online and telephone services to simplify how Queenslanders transact, interact and access government information and services. </w:t>
      </w:r>
    </w:p>
    <w:p w:rsidR="00EC4209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 Whole-of-Government dark fibre and Internet service provision consolidation plans have provided the potential for reduced costs, less duplication and leveraging greater efficiencies through a ‘one government’ approach. </w:t>
      </w:r>
    </w:p>
    <w:p w:rsidR="00F35F93" w:rsidRPr="00F35F93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</w:rPr>
        <w:t>The Brisbane CBD Queensland Government Service Centre</w:t>
      </w:r>
      <w:r w:rsidR="004B3537">
        <w:rPr>
          <w:rFonts w:ascii="Arial" w:hAnsi="Arial" w:cs="Arial"/>
          <w:bCs/>
          <w:spacing w:val="-3"/>
          <w:sz w:val="22"/>
          <w:szCs w:val="22"/>
        </w:rPr>
        <w:t>,</w:t>
      </w: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 opened on 5 October 2009, has completed 35,084 transactions and served over 20,236 Queenslanders. </w:t>
      </w:r>
    </w:p>
    <w:p w:rsidR="00F35F93" w:rsidRPr="00F35F93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</w:rPr>
        <w:t>Thirty-seven actions are scheduled for completion in 2010.</w:t>
      </w:r>
    </w:p>
    <w:p w:rsidR="00F35F93" w:rsidRDefault="00F35F93" w:rsidP="00F35F93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35F93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C4209" w:rsidRPr="00F35F93">
        <w:rPr>
          <w:rFonts w:ascii="Arial" w:hAnsi="Arial" w:cs="Arial"/>
          <w:bCs/>
          <w:spacing w:val="-3"/>
          <w:sz w:val="22"/>
          <w:szCs w:val="22"/>
        </w:rPr>
        <w:t xml:space="preserve">implementation </w:t>
      </w:r>
      <w:r w:rsidRPr="00F35F93">
        <w:rPr>
          <w:rFonts w:ascii="Arial" w:hAnsi="Arial" w:cs="Arial"/>
          <w:bCs/>
          <w:spacing w:val="-3"/>
          <w:sz w:val="22"/>
          <w:szCs w:val="22"/>
        </w:rPr>
        <w:t xml:space="preserve">progress of the </w:t>
      </w:r>
      <w:r w:rsidRPr="00F35F93">
        <w:rPr>
          <w:rFonts w:ascii="Arial" w:hAnsi="Arial" w:cs="Arial"/>
          <w:bCs/>
          <w:i/>
          <w:spacing w:val="-3"/>
          <w:sz w:val="22"/>
          <w:szCs w:val="22"/>
        </w:rPr>
        <w:t xml:space="preserve">Toward Q2 through ICT </w:t>
      </w:r>
      <w:r w:rsidRPr="00F35F93">
        <w:rPr>
          <w:rFonts w:ascii="Arial" w:hAnsi="Arial" w:cs="Arial"/>
          <w:bCs/>
          <w:spacing w:val="-3"/>
          <w:sz w:val="22"/>
          <w:szCs w:val="22"/>
        </w:rPr>
        <w:t>Strategy and Implementation Plan.</w:t>
      </w:r>
    </w:p>
    <w:p w:rsidR="00744F7D" w:rsidRPr="00744F7D" w:rsidRDefault="00744F7D" w:rsidP="00A365FE">
      <w:pPr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744F7D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5F458C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CB4F07" w:rsidRDefault="00201E80" w:rsidP="00A365FE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5F458C" w:rsidRPr="0007224D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Toward Q2 through ICT </w:t>
        </w:r>
        <w:r w:rsidR="00CB4F07" w:rsidRPr="0007224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Strategy</w:t>
        </w:r>
      </w:hyperlink>
      <w:r w:rsidR="00CB4F0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F458C" w:rsidRDefault="00201E80" w:rsidP="00A365FE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CB4F07" w:rsidRPr="00CB4F07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Toward Q2 through ICT </w:t>
        </w:r>
        <w:r w:rsidR="00CB4F07" w:rsidRPr="00CB4F0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</w:t>
        </w:r>
        <w:r w:rsidR="005F458C" w:rsidRPr="00CB4F0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mplementation Plan</w:t>
        </w:r>
      </w:hyperlink>
    </w:p>
    <w:p w:rsidR="00744F7D" w:rsidRPr="00F35F93" w:rsidRDefault="00201E80" w:rsidP="00A365FE">
      <w:pPr>
        <w:numPr>
          <w:ilvl w:val="0"/>
          <w:numId w:val="14"/>
        </w:numPr>
        <w:spacing w:before="120"/>
        <w:ind w:left="641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744F7D" w:rsidRPr="0007224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ICT Portfolio Performance Report</w:t>
        </w:r>
      </w:hyperlink>
    </w:p>
    <w:p w:rsidR="000B545C" w:rsidRPr="00976471" w:rsidRDefault="000B545C">
      <w:pPr>
        <w:rPr>
          <w:rFonts w:ascii="Arial" w:hAnsi="Arial" w:cs="Arial"/>
          <w:sz w:val="4"/>
          <w:szCs w:val="4"/>
        </w:rPr>
      </w:pPr>
    </w:p>
    <w:sectPr w:rsidR="000B545C" w:rsidRPr="00976471" w:rsidSect="00A365FE">
      <w:headerReference w:type="default" r:id="rId10"/>
      <w:footerReference w:type="default" r:id="rId11"/>
      <w:pgSz w:w="11907" w:h="16840" w:code="9"/>
      <w:pgMar w:top="1134" w:right="1134" w:bottom="1134" w:left="1134" w:header="899" w:footer="1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A9" w:rsidRDefault="000C3FA9">
      <w:r>
        <w:separator/>
      </w:r>
    </w:p>
  </w:endnote>
  <w:endnote w:type="continuationSeparator" w:id="0">
    <w:p w:rsidR="000C3FA9" w:rsidRDefault="000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61" w:rsidRPr="00CB4F07" w:rsidRDefault="00101861" w:rsidP="00CB4F0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A9" w:rsidRDefault="000C3FA9">
      <w:r>
        <w:separator/>
      </w:r>
    </w:p>
  </w:footnote>
  <w:footnote w:type="continuationSeparator" w:id="0">
    <w:p w:rsidR="000C3FA9" w:rsidRDefault="000C3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61" w:rsidRPr="000400F9" w:rsidRDefault="0085033F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86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01861">
      <w:rPr>
        <w:rFonts w:ascii="Arial" w:hAnsi="Arial" w:cs="Arial"/>
        <w:b/>
        <w:sz w:val="22"/>
        <w:szCs w:val="22"/>
        <w:u w:val="single"/>
      </w:rPr>
      <w:t>June 2010</w:t>
    </w:r>
  </w:p>
  <w:p w:rsidR="00101861" w:rsidRDefault="0010186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Progress Report – Implementation of Toward Q2 through ICT 2009-2014</w:t>
    </w:r>
  </w:p>
  <w:p w:rsidR="00101861" w:rsidRDefault="0010186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Public Works and Information and Communication Technology</w:t>
    </w:r>
  </w:p>
  <w:p w:rsidR="00101861" w:rsidRPr="00F10DF9" w:rsidRDefault="00101861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59F"/>
    <w:multiLevelType w:val="multilevel"/>
    <w:tmpl w:val="92A09C1C"/>
    <w:lvl w:ilvl="0"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eastAsia="Times New Roman" w:hAnsi="Symbol" w:cs="Times New Roman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831C3"/>
    <w:multiLevelType w:val="hybridMultilevel"/>
    <w:tmpl w:val="6CB850A0"/>
    <w:lvl w:ilvl="0" w:tplc="4B566F94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7706AA"/>
    <w:multiLevelType w:val="hybridMultilevel"/>
    <w:tmpl w:val="92A09C1C"/>
    <w:lvl w:ilvl="0" w:tplc="E2C8D060"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eastAsia="Times New Roman" w:hAnsi="Symbol" w:cs="Times New Roman" w:hint="default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93"/>
    <w:rsid w:val="00021B34"/>
    <w:rsid w:val="000400F9"/>
    <w:rsid w:val="00070F78"/>
    <w:rsid w:val="0007224D"/>
    <w:rsid w:val="00083BD8"/>
    <w:rsid w:val="000A0CC3"/>
    <w:rsid w:val="000B545C"/>
    <w:rsid w:val="000C3FA9"/>
    <w:rsid w:val="00101861"/>
    <w:rsid w:val="001141E1"/>
    <w:rsid w:val="00122317"/>
    <w:rsid w:val="00133013"/>
    <w:rsid w:val="00133A34"/>
    <w:rsid w:val="00134986"/>
    <w:rsid w:val="00160524"/>
    <w:rsid w:val="001B7EFE"/>
    <w:rsid w:val="001D2287"/>
    <w:rsid w:val="00201E80"/>
    <w:rsid w:val="00237C68"/>
    <w:rsid w:val="00254E35"/>
    <w:rsid w:val="002602B0"/>
    <w:rsid w:val="0028053C"/>
    <w:rsid w:val="002F57E4"/>
    <w:rsid w:val="00314FEB"/>
    <w:rsid w:val="0032048B"/>
    <w:rsid w:val="00346156"/>
    <w:rsid w:val="00373154"/>
    <w:rsid w:val="00382380"/>
    <w:rsid w:val="003A269C"/>
    <w:rsid w:val="003A2E0F"/>
    <w:rsid w:val="003C3732"/>
    <w:rsid w:val="003D36E2"/>
    <w:rsid w:val="00424A52"/>
    <w:rsid w:val="0043472A"/>
    <w:rsid w:val="00435BE5"/>
    <w:rsid w:val="0045657B"/>
    <w:rsid w:val="0048019C"/>
    <w:rsid w:val="00486A99"/>
    <w:rsid w:val="004B3537"/>
    <w:rsid w:val="004E10EC"/>
    <w:rsid w:val="004E6C38"/>
    <w:rsid w:val="0055228E"/>
    <w:rsid w:val="00562AE4"/>
    <w:rsid w:val="0056401D"/>
    <w:rsid w:val="005B1D9B"/>
    <w:rsid w:val="005C224F"/>
    <w:rsid w:val="005F458C"/>
    <w:rsid w:val="006100CC"/>
    <w:rsid w:val="00635259"/>
    <w:rsid w:val="00644076"/>
    <w:rsid w:val="006631CF"/>
    <w:rsid w:val="00680EE8"/>
    <w:rsid w:val="00682036"/>
    <w:rsid w:val="006B3B54"/>
    <w:rsid w:val="006D0869"/>
    <w:rsid w:val="006E6713"/>
    <w:rsid w:val="007060D7"/>
    <w:rsid w:val="00710AAE"/>
    <w:rsid w:val="00726F36"/>
    <w:rsid w:val="00744F7D"/>
    <w:rsid w:val="00745206"/>
    <w:rsid w:val="007616CB"/>
    <w:rsid w:val="00783AB1"/>
    <w:rsid w:val="00796B3E"/>
    <w:rsid w:val="007A25F4"/>
    <w:rsid w:val="007A6599"/>
    <w:rsid w:val="007D3B9D"/>
    <w:rsid w:val="007F52D6"/>
    <w:rsid w:val="0082040E"/>
    <w:rsid w:val="00845D3E"/>
    <w:rsid w:val="0085033F"/>
    <w:rsid w:val="008A4D23"/>
    <w:rsid w:val="008A5F1B"/>
    <w:rsid w:val="008B7E17"/>
    <w:rsid w:val="008C3732"/>
    <w:rsid w:val="008F44CD"/>
    <w:rsid w:val="00922A5B"/>
    <w:rsid w:val="00976471"/>
    <w:rsid w:val="009D0C12"/>
    <w:rsid w:val="009F5476"/>
    <w:rsid w:val="00A20C0E"/>
    <w:rsid w:val="00A30F55"/>
    <w:rsid w:val="00A354FF"/>
    <w:rsid w:val="00A365FE"/>
    <w:rsid w:val="00A527A5"/>
    <w:rsid w:val="00A5680C"/>
    <w:rsid w:val="00A83B0C"/>
    <w:rsid w:val="00AA128C"/>
    <w:rsid w:val="00AB6637"/>
    <w:rsid w:val="00AE1995"/>
    <w:rsid w:val="00AF4F0E"/>
    <w:rsid w:val="00B40BDF"/>
    <w:rsid w:val="00C07656"/>
    <w:rsid w:val="00C805EC"/>
    <w:rsid w:val="00C85B71"/>
    <w:rsid w:val="00CA30DC"/>
    <w:rsid w:val="00CB2B7A"/>
    <w:rsid w:val="00CB4F07"/>
    <w:rsid w:val="00CE6FBA"/>
    <w:rsid w:val="00D54601"/>
    <w:rsid w:val="00D63E08"/>
    <w:rsid w:val="00DD3CD5"/>
    <w:rsid w:val="00DD497C"/>
    <w:rsid w:val="00DF4650"/>
    <w:rsid w:val="00DF49D8"/>
    <w:rsid w:val="00E463C2"/>
    <w:rsid w:val="00EA00BF"/>
    <w:rsid w:val="00EC4209"/>
    <w:rsid w:val="00ED0DB5"/>
    <w:rsid w:val="00EE21CB"/>
    <w:rsid w:val="00F10DF9"/>
    <w:rsid w:val="00F13500"/>
    <w:rsid w:val="00F35F93"/>
    <w:rsid w:val="00F756F8"/>
    <w:rsid w:val="00FB54A6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CB4F07"/>
    <w:rPr>
      <w:color w:val="0000FF"/>
      <w:u w:val="single"/>
    </w:rPr>
  </w:style>
  <w:style w:type="character" w:styleId="FollowedHyperlink">
    <w:name w:val="FollowedHyperlink"/>
    <w:basedOn w:val="DefaultParagraphFont"/>
    <w:rsid w:val="00072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TowardQ2throughICT%20implementation%20pla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TowardQ2throughICT%20Strateg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ICT%20Portfolio%20Performance%20Report%20Sept%20Ma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2013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2327</CharactersWithSpaces>
  <SharedDoc>false</SharedDoc>
  <HyperlinkBase>https://www.cabinet.qld.gov.au/documents/2010/Jun/Toward Q2 through ICT Strategy/</HyperlinkBase>
  <HLinks>
    <vt:vector size="18" baseType="variant">
      <vt:variant>
        <vt:i4>6160486</vt:i4>
      </vt:variant>
      <vt:variant>
        <vt:i4>6</vt:i4>
      </vt:variant>
      <vt:variant>
        <vt:i4>0</vt:i4>
      </vt:variant>
      <vt:variant>
        <vt:i4>5</vt:i4>
      </vt:variant>
      <vt:variant>
        <vt:lpwstr>\\premiers\dpc\CABSECCOM\Right to Information - Cabinet\ToBeProcessed\2010\Jun\Toward Q2 through ICT Strategy\Attachments\ICT Portfolio Performance Report Sept Mar.pdf</vt:lpwstr>
      </vt:variant>
      <vt:variant>
        <vt:lpwstr/>
      </vt:variant>
      <vt:variant>
        <vt:i4>2359393</vt:i4>
      </vt:variant>
      <vt:variant>
        <vt:i4>3</vt:i4>
      </vt:variant>
      <vt:variant>
        <vt:i4>0</vt:i4>
      </vt:variant>
      <vt:variant>
        <vt:i4>5</vt:i4>
      </vt:variant>
      <vt:variant>
        <vt:lpwstr>Attachments/TowardQ2throughICT implementation plan.pdf</vt:lpwstr>
      </vt:variant>
      <vt:variant>
        <vt:lpwstr/>
      </vt:variant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Cabinet\ToBeProcessed\2010\Jun\Toward Q2 through ICT Strategy\Attachments\TowardQ2throughICT 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technology,information_technology,Q2,ICT,government_services</cp:keywords>
  <dc:description/>
  <cp:lastModifiedBy/>
  <cp:revision>2</cp:revision>
  <cp:lastPrinted>2010-07-27T04:54:00Z</cp:lastPrinted>
  <dcterms:created xsi:type="dcterms:W3CDTF">2017-10-24T22:20:00Z</dcterms:created>
  <dcterms:modified xsi:type="dcterms:W3CDTF">2018-03-06T01:03:00Z</dcterms:modified>
  <cp:category>Information_and_Communications_Technology,Q2</cp:category>
</cp:coreProperties>
</file>